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223"/>
        <w:gridCol w:w="1116"/>
        <w:gridCol w:w="906"/>
        <w:gridCol w:w="1260"/>
        <w:gridCol w:w="1851"/>
        <w:gridCol w:w="643"/>
        <w:gridCol w:w="617"/>
        <w:gridCol w:w="1457"/>
        <w:gridCol w:w="1457"/>
        <w:gridCol w:w="1457"/>
        <w:gridCol w:w="1457"/>
        <w:gridCol w:w="0"/>
      </w:tblGrid>
      <w:tr>
        <w:trPr>
          <w:trHeight w:val="225" w:hRule="exact"/>
        </w:trP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311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/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0"/>
            </w:pPr>
            <w:r>
              <w:t>КОДЫ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9307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>ОТЧЕТ О ФИНАНСОВЫХ РЕЗУЛЬТАТАХ ДЕЯТЕЛЬНОСТИ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Форма по ОКУД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0503121</w:t>
            </w:r>
          </w:p>
        </w:tc>
      </w:tr>
      <w:tr>
        <w:tc>
          <w:tcPr>
            <w:gridSpan w:val="5"/>
            <w:tcW w:w="3859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на</w:t>
            </w:r>
          </w:p>
        </w:tc>
        <w:tc>
          <w:tcPr>
            <w:gridSpan w:val="3"/>
            <w:tcW w:w="3111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>«01» января 2015 г.</w:t>
            </w:r>
          </w:p>
        </w:tc>
        <w:tc>
          <w:tcPr>
            <w:gridSpan w:val="3"/>
            <w:tcW w:w="437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5"/>
            </w:pPr>
            <w:r>
              <w:t>Дата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6"/>
            </w:pPr>
            <w:r>
              <w:t>01.01.2015</w:t>
            </w:r>
          </w:p>
        </w:tc>
      </w:tr>
      <w:tr>
        <w:trPr>
          <w:trHeight w:val="510" w:hRule="exact"/>
        </w:trPr>
        <w:tc>
          <w:tcPr>
            <w:vMerge w:val="restart"/>
            <w:gridSpan w:val="5"/>
            <w:tcW w:w="3859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gridSpan w:val="5"/>
            <w:tcW w:w="60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9"/>
            </w:pPr>
            <w:r>
              <w:t>по ОКПО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0"/>
            </w:pPr>
            <w:r>
              <w:t>25403377</w:t>
            </w:r>
          </w:p>
        </w:tc>
      </w:tr>
      <w:tr>
        <w:tc>
          <w:tcPr>
            <w:vMerge w:val="continue"/>
            <w:gridSpan w:val="5"/>
            <w:tcW w:w="3859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gridSpan w:val="5"/>
            <w:tcW w:w="602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Управление по обеспечению деятельности мировых судей Ульяновской области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Глава по БК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</w:tr>
      <w:tr>
        <w:tc>
          <w:tcPr>
            <w:gridSpan w:val="5"/>
            <w:tcW w:w="3859" w:type="dxa"/>
            <w:vAlign w:val="top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Наименование бюджета (публично-правового образования)</w:t>
            </w:r>
          </w:p>
        </w:tc>
        <w:tc>
          <w:tcPr>
            <w:gridSpan w:val="5"/>
            <w:tcW w:w="602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Областной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ОКАТО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4"/>
            </w:pPr>
            <w:r>
              <w:t>73401000000</w:t>
            </w:r>
          </w:p>
        </w:tc>
      </w:tr>
      <w:tr>
        <w:tc>
          <w:tcPr>
            <w:gridSpan w:val="11"/>
            <w:tcW w:w="11341" w:type="dxa"/>
            <w:vAlign w:val="bottom"/>
            <w:shd w:val="clear" w:color="FFFFFF" w:fill="auto"/>
            <w:pPr>
              <w:jc w:val="left"/>
            </w:pPr>
          </w:tcPr>
          <w:p>
            <w:r>
              <w:t>Периодичность: годовая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5"/>
            </w:pPr>
            <w:r>
              <w:t/>
            </w:r>
          </w:p>
        </w:tc>
      </w:tr>
      <w:tr>
        <w:tc>
          <w:tcPr>
            <w:gridSpan w:val="3"/>
            <w:tcW w:w="1693" w:type="dxa"/>
            <w:vAlign w:val="bottom"/>
            <w:shd w:val="clear" w:color="FFFFFF" w:fill="auto"/>
            <w:pPr>
              <w:jc w:val="left"/>
            </w:pPr>
          </w:tcPr>
          <w:p>
            <w:r>
              <w:t>Единица измерения:</w:t>
            </w:r>
          </w:p>
        </w:tc>
        <w:tc>
          <w:tcPr>
            <w:tcW w:w="906" w:type="dxa"/>
            <w:vAlign w:val="bottom"/>
            <w:shd w:val="clear" w:color="FFFFFF" w:fill="#d5eeff"/>
            <w:pPr>
              <w:jc w:val="left"/>
            </w:pPr>
          </w:tcPr>
          <w:p>
            <w:r>
              <w:t>руб.</w:t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5"/>
            <w:tcW w:w="602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ОКЕИ   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383</w:t>
            </w:r>
          </w:p>
        </w:tc>
      </w:tr>
      <w:tr>
        <w:trPr>
          <w:trHeight w:val="105" w:hRule="exact"/>
        </w:trPr>
        <w:tc>
          <w:tcPr>
            <w:tcW w:w="35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5"/>
            <w:tcW w:w="5356" w:type="dxa"/>
            <w:vAlign w:val="center"/>
            <w:shd w:val="clear" w:color="FFFFFF" w:fill="auto"/>
            <w:tcBorders>
              <w:top w:val="single" w:sz="5" w:space="0" w:color="auto"/>
              <w:left w:val="none" w:sz="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7"/>
            </w:pPr>
            <w:r>
              <w:t>Наименование показателя</w:t>
            </w:r>
          </w:p>
        </w:tc>
        <w:tc>
          <w:tcPr>
            <w:tcW w:w="643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tcW w:w="61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9"/>
            </w:pPr>
            <w:r>
              <w:t>Код</w:t>
              <w:br/>
              <w:t>
по КОСГУ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0"/>
            </w:pPr>
            <w:r>
              <w:t>Бюджетная деятельность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0"/>
            </w:pPr>
            <w:r>
              <w:t>Приносящая доход деятельность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0"/>
            </w:pPr>
            <w:r>
              <w:t>Средства во временном распоряжении</w:t>
            </w:r>
          </w:p>
        </w:tc>
        <w:tc>
          <w:tcPr>
            <w:tcW w:w="1457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1"/>
            </w:pPr>
            <w:r>
              <w:t>Итого</w:t>
            </w:r>
          </w:p>
        </w:tc>
      </w:tr>
      <w:tr>
        <w:tc>
          <w:tcPr>
            <w:gridSpan w:val="6"/>
            <w:tcW w:w="571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2"/>
            </w:pPr>
            <w:r>
              <w:t>1</w:t>
            </w:r>
          </w:p>
        </w:tc>
        <w:tc>
          <w:tcPr>
            <w:tcW w:w="643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3"/>
            </w:pPr>
            <w:r>
              <w:t>2</w:t>
            </w:r>
          </w:p>
        </w:tc>
        <w:tc>
          <w:tcPr>
            <w:tcW w:w="61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4"/>
            </w:pPr>
            <w:r>
              <w:t>3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4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5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5"/>
            </w:pPr>
            <w:r>
              <w:t>6</w:t>
            </w:r>
          </w:p>
        </w:tc>
        <w:tc>
          <w:tcPr>
            <w:tcW w:w="1457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>7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Доходы</w:t>
            </w:r>
          </w:p>
        </w:tc>
        <w:tc>
          <w:tcPr>
            <w:vMerge w:val="restart"/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010</w:t>
            </w:r>
          </w:p>
        </w:tc>
        <w:tc>
          <w:tcPr>
            <w:vMerge w:val="restart"/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100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(стр.020 + стр.030 + стр.040 + стр.050 + стр.060 + стр. 080 + стр.090 + стр.100 + стр.110)</w:t>
            </w:r>
          </w:p>
        </w:tc>
        <w:tc>
          <w:tcPr>
            <w:vMerge w:val="continue"/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010</w:t>
            </w:r>
          </w:p>
        </w:tc>
        <w:tc>
          <w:tcPr>
            <w:vMerge w:val="continue"/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100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181 402,15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181 402,15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Налоговые доходы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020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110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Доходы от собственности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030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120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Доходы от оказания платных услуг (работ)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040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130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Суммы принудительного изъятия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050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140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Безвозмездные поступления от бюджетов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060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150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rPr>
          <w:trHeight w:val="210" w:hRule="exact"/>
        </w:trP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поступления от других бюджетов бюджетной системы Российской Федерации 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061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151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поступления от наднациональных организаций и правительств иностранных государств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062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152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поступления от международных финансовых организаций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063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153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Взносы на социальные нужды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080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160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Доходы от операций с активами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090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170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доходы от переоценки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091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171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доходы от реализации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092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172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чрезвычайные доходы от операций с активами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093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173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Прочие доходы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100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180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181 402,15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181 402,15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Доходы будущих периодов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110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130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Расходы </w:t>
            </w:r>
          </w:p>
        </w:tc>
        <w:tc>
          <w:tcPr>
            <w:vMerge w:val="restart"/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150</w:t>
            </w:r>
          </w:p>
        </w:tc>
        <w:tc>
          <w:tcPr>
            <w:vMerge w:val="restart"/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200</w:t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(стр. 160 + стр. 170 + стр. 190 + стр. 210 + стр. 230 + стр. 240 + стр. 260 + стр. 270 + стр. 280)</w:t>
            </w:r>
          </w:p>
        </w:tc>
        <w:tc>
          <w:tcPr>
            <w:vMerge w:val="continue"/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150</w:t>
            </w:r>
          </w:p>
        </w:tc>
        <w:tc>
          <w:tcPr>
            <w:vMerge w:val="continue"/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200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131 976 575,34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131 976 575,34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Оплата труда и начисления на выплаты по оплате труда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160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210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99 537 615,87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99 537 615,87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заработная плата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161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211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76 699 492,86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76 699 492,86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прочие выплаты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162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212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6 300,00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6 300,00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начисления на выплаты по оплате труда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163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213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22 831 823,01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22 831 823,01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Приобретение работ, услуг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170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220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27 766 665,52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27 766 665,52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услуги связи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171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221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15 420 744,89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15 420 744,89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транспортные услуги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172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222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87 658,00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87 658,00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коммунальные услуги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173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223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3 044 189,89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3 044 189,89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арендная плата за пользование имуществом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174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224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4 305 014,40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4 305 014,40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работы, услуги по содержанию имущества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175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225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2 473 628,50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2 473 628,50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прочие работы, услуги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176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226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2 435 429,84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2 435 429,84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Обслуживание государственного (муниципального) долга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190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230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обслуживание внутреннего долга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191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231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обслуживание внешнего долга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192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232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Безвозмездные перечисления организациям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210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240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безвозмездные перечисления государственным и муниципальным организациям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211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241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безвозмездные  перечисления организациям, за исключением государственных и муниципальных организаций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212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242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Безвозмездные перечисления бюджетам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230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250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перечисления другим бюджетам бюджетной системы Российской Федерации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231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251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перечисления наднациональным организациям и правительствам иностранных государств 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232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252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перечисления международным организациям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233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253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Социальное обеспечение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240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260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пенсии, пособия и выплаты по пенсионному, социальному и медицинскому страхованию населения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3"/>
            </w:pPr>
            <w:r>
              <w:t>241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4"/>
            </w:pPr>
            <w:r>
              <w:t>261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пособия по социальной помощи населению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242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262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243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263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Расходы по операциям с активами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260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270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4 629 692,08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4 629 692,08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амортизация основных средств и нематериальных 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261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271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1 969 816,89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1 969 816,89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расходование материальных запасов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262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272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2 659 875,19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2 659 875,19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чрезвычайные расходы по операциям с активами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263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273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rPr>
          <w:trHeight w:val="225" w:hRule="exact"/>
        </w:trP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Прочие расходы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270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290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42 601,87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42 601,87</w:t>
            </w:r>
          </w:p>
        </w:tc>
      </w:tr>
      <w:tr>
        <w:trPr>
          <w:trHeight w:val="225" w:hRule="exact"/>
        </w:trP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Расходы будущих периодов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280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Чистый операционный результат</w:t>
            </w:r>
          </w:p>
        </w:tc>
        <w:tc>
          <w:tcPr>
            <w:vMerge w:val="restart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290</w:t>
            </w:r>
          </w:p>
        </w:tc>
        <w:tc>
          <w:tcPr>
            <w:vMerge w:val="restart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291 − стр. 292);  (стр. 310 + стр. 380)</w:t>
            </w:r>
          </w:p>
        </w:tc>
        <w:tc>
          <w:tcPr>
            <w:vMerge w:val="continue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290</w:t>
            </w:r>
          </w:p>
        </w:tc>
        <w:tc>
          <w:tcPr>
            <w:vMerge w:val="continue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-131 795 173,19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-131 795 173,19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Операционный результат до налогообложения (стр. 010 − стр. 150)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291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-131 795 173,19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-131 795 173,19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Налог на прибыль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292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Операции с нефинансовыми активами </w:t>
            </w:r>
          </w:p>
        </w:tc>
        <w:tc>
          <w:tcPr>
            <w:vMerge w:val="restart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310</w:t>
            </w:r>
          </w:p>
        </w:tc>
        <w:tc>
          <w:tcPr>
            <w:vMerge w:val="restart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320 + стр. 330 + стр. 350 + стр. 360 + стр. 370)</w:t>
            </w:r>
          </w:p>
        </w:tc>
        <w:tc>
          <w:tcPr>
            <w:vMerge w:val="continue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2"/>
            </w:pPr>
            <w:r>
              <w:t>310</w:t>
            </w:r>
          </w:p>
        </w:tc>
        <w:tc>
          <w:tcPr>
            <w:vMerge w:val="continue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-381 585,12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-381 585,12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основных средств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320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-1 321 067,89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-1 321 067,89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стоимости основных средств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321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310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637 229,00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637 229,00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стоимости основных средств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322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410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1 958 296,89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1 958 296,89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нематериальных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330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стоимости нематериальных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331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320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стоимости нематериальных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332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420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непроизведенных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350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181 402,15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181 402,15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стоимости непроизведенных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351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330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181 402,15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181 402,15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стоимости непроизведенных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352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430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материальных запасов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360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758 080,62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758 080,62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стоимости материальных запасов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361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340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3 417 955,81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3 417 955,81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стоимости материальных запасов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362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440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2 659 875,19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2 659 875,19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370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none" w:sz="0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затрат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371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х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затрат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372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х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Операции с финансовыми активами и обязательствами</w:t>
            </w:r>
          </w:p>
        </w:tc>
        <w:tc>
          <w:tcPr>
            <w:vMerge w:val="restart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380</w:t>
            </w:r>
          </w:p>
        </w:tc>
        <w:tc>
          <w:tcPr>
            <w:vMerge w:val="restart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390 − стр. 510)</w:t>
            </w:r>
          </w:p>
        </w:tc>
        <w:tc>
          <w:tcPr>
            <w:vMerge w:val="continue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380</w:t>
            </w:r>
          </w:p>
        </w:tc>
        <w:tc>
          <w:tcPr>
            <w:vMerge w:val="continue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-131 413 588,07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-131 413 588,07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Операции с финансовыми активами</w:t>
            </w:r>
          </w:p>
        </w:tc>
        <w:tc>
          <w:tcPr>
            <w:vMerge w:val="restart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390</w:t>
            </w:r>
          </w:p>
        </w:tc>
        <w:tc>
          <w:tcPr>
            <w:vMerge w:val="restart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410 + стр. 420 + стр. 440 + стр. 460 + стр. 470 + стр. 480)</w:t>
            </w:r>
          </w:p>
        </w:tc>
        <w:tc>
          <w:tcPr>
            <w:vMerge w:val="continue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390</w:t>
            </w:r>
          </w:p>
        </w:tc>
        <w:tc>
          <w:tcPr>
            <w:vMerge w:val="continue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-131 201 529,05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-131 201 529,05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средств на счета бюджетов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410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-131 327 660,39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-131 327 660,39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поступление на счета бюджетов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411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510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12 503 470,23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12 503 470,23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выбытия со счетов бюджетов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412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610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143 831 130,62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143 831 130,62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ценных бумаг, кроме акций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420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стоимости ценных бумаг, кроме акций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421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520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стоимости ценных бумаг, кроме акций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422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620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акций и иных форм участия в капитале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440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стоимости акций и иных форм участия в капитале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441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530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стоимости акций и иных форм участия в капитале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442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630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64"/>
            </w:pPr>
            <w:r>
              <w:t>Чистое предоставление бюджетных кредитов 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460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задолженности по бюджетным кредитам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461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540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задолженности по бюджетным ссудам и кредитам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462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640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поступление иных финансовых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470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стоимости иных финансовых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471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550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стоимости иных финансовых активов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472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650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увеличение прочей дебиторской задолженности (кроме бюджетных кредитов)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480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126 131,34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126 131,34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прочей дебиторской задолженности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481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560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13 263 026,37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13 263 026,37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прочей дебиторской задолженности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482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660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13 136 895,03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13 136 895,03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Операции с обязательствами</w:t>
            </w:r>
          </w:p>
        </w:tc>
        <w:tc>
          <w:tcPr>
            <w:vMerge w:val="restart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510</w:t>
            </w:r>
          </w:p>
        </w:tc>
        <w:tc>
          <w:tcPr>
            <w:vMerge w:val="restart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left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r>
              <w:t>(стр. 520 + стр. 530 + стр. 540)</w:t>
            </w:r>
          </w:p>
        </w:tc>
        <w:tc>
          <w:tcPr>
            <w:vMerge w:val="continue"/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510</w:t>
            </w:r>
          </w:p>
        </w:tc>
        <w:tc>
          <w:tcPr>
            <w:vMerge w:val="continue"/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212 059,02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212 059,02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увеличение задолженности по внутреннему государственному (муниципальному) долгу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520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521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710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522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810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увеличение задолженности по внешнему государственному долгу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530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задолженности по внешнему государственному долгу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531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720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задолженности по внешнему государственному долгу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532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820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ff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-</w:t>
            </w:r>
          </w:p>
        </w:tc>
      </w:tr>
      <w:tr>
        <w:tc>
          <w:tcPr>
            <w:gridSpan w:val="6"/>
            <w:tcW w:w="5710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Чистое увеличение прочей кредиторской задолженности 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540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212 059,02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1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212 059,02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gridSpan w:val="4"/>
            <w:tcW w:w="5133" w:type="dxa"/>
            <w:vAlign w:val="bottom"/>
            <w:shd w:val="clear" w:color="FFFFFF" w:fill="auto"/>
            <w:tcBorders>
              <w:bottom w:val="none" w:sz="0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в том числе: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увеличение прочей кредиторской задолженности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541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730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149 711 192,07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>149 711 192,07</w:t>
            </w:r>
          </w:p>
        </w:tc>
      </w:tr>
      <w:tr>
        <w:tc>
          <w:tcPr>
            <w:tcW w:w="354" w:type="dxa"/>
            <w:vAlign w:val="bottom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gridSpan w:val="5"/>
            <w:tcW w:w="5356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42"/>
            </w:pPr>
            <w:r>
              <w:t>уменьшение прочей кредиторской задолженности</w:t>
            </w:r>
          </w:p>
        </w:tc>
        <w:tc>
          <w:tcPr>
            <w:tcW w:w="643" w:type="dxa"/>
            <w:vAlign w:val="bottom"/>
            <w:shd w:val="clear" w:color="FFFFFF" w:fill="auto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5"/>
            </w:pPr>
            <w:r>
              <w:t>542</w:t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6"/>
            </w:pPr>
            <w:r>
              <w:t>830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149 499 133,05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ffffc0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457" w:type="dxa"/>
            <w:vAlign w:val="bottom"/>
            <w:shd w:val="clear" w:color="FFFFFF" w:fill="#c0dcc0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149 499 133,05</w:t>
            </w:r>
          </w:p>
        </w:tc>
      </w:tr>
      <w:tr>
        <w:trPr>
          <w:trHeight w:val="345" w:hRule="exact"/>
        </w:trPr>
        <w:tc>
          <w:tcPr>
            <w:tcW w:w="35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354"/>
        <w:gridCol w:w="223"/>
        <w:gridCol w:w="1116"/>
        <w:gridCol w:w="906"/>
        <w:gridCol w:w="1260"/>
        <w:gridCol w:w="945"/>
        <w:gridCol w:w="643"/>
        <w:gridCol w:w="617"/>
        <w:gridCol w:w="1457"/>
        <w:gridCol w:w="1457"/>
        <w:gridCol w:w="0"/>
      </w:tblGrid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422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69"/>
            </w:pPr>
            <w:r>
              <w:t>Руководитель</w:t>
            </w:r>
          </w:p>
        </w:tc>
        <w:tc>
          <w:tcPr>
            <w:gridSpan w:val="3"/>
            <w:tcW w:w="2717" w:type="dxa"/>
            <w:vAlign w:val="bottom"/>
            <w:shd w:val="clear" w:color="FFFFFF" w:fill="auto"/>
            <w:pPr>
              <w:jc w:val="left"/>
            </w:pPr>
          </w:tcPr>
          <w:p>
            <w:r>
              <w:t>Г.П. Выдрин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45" w:hRule="exact"/>
        </w:trP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r>
              <w:pict>
                <v:rect style="position:absolute;margin-left:0pt;margin-top:0pt;width:106pt;height:9pt;z-index:2;;v-text-anchor:top">
                  <v:textbox inset="0,0,0,0">
                    <w:txbxContent>
                      <w:p>
                        <w:pPr>
                          <w:pStyle w:val="1CStyle70"/>
                        </w:pPr>
                        <w:jc w:val="center"/>
                        <w:r>
                          <w:t>(подпись)</w:t>
                        </w:r>
                      </w:p>
                    </w:txbxContent>
                  </v:textbox>
                </v:rect>
              </w:pict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left"/>
            </w:pPr>
          </w:tcPr>
          <w:p>
            <w:r>
              <w:pict>
                <v:rect style="position:absolute;margin-left:30pt;margin-top:0pt;width:103pt;height:9pt;z-index:1;;v-text-anchor:top">
                  <v:textbox inset="0,0,0,0">
                    <w:txbxContent>
                      <w:p>
                        <w:pPr>
                          <w:pStyle w:val="1CStyle70"/>
                        </w:pPr>
                        <w:jc w:val="center"/>
                        <w:r>
                          <w:t>(расшифровка подписи)</w:t>
                        </w:r>
                      </w:p>
                    </w:txbxContent>
                  </v:textbox>
                </v:rect>
              </w:pict>
              <w:t/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00" w:hRule="exact"/>
        </w:trP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4"/>
            <w:tcW w:w="422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71"/>
            </w:pPr>
            <w:r>
              <w:t>Главный бухгалтер</w:t>
            </w:r>
          </w:p>
        </w:tc>
        <w:tc>
          <w:tcPr>
            <w:gridSpan w:val="3"/>
            <w:tcW w:w="2717" w:type="dxa"/>
            <w:vAlign w:val="bottom"/>
            <w:shd w:val="clear" w:color="FFFFFF" w:fill="auto"/>
            <w:pPr>
              <w:jc w:val="left"/>
            </w:pPr>
          </w:tcPr>
          <w:p>
            <w:r>
              <w:t>Л.Н. Корщикова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r>
              <w:pict>
                <v:rect style="position:absolute;margin-left:0pt;margin-top:0pt;width:108pt;height:9pt;z-index:3;;v-text-anchor:top">
                  <v:textbox inset="0,0,0,0">
                    <w:txbxContent>
                      <w:p>
                        <w:pPr>
                          <w:pStyle w:val="1CStyle70"/>
                        </w:pPr>
                        <w:jc w:val="center"/>
                        <w:r>
                          <w:t>(подпись)</w:t>
                        </w:r>
                      </w:p>
                    </w:txbxContent>
                  </v:textbox>
                </v:rect>
              </w:pict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left"/>
            </w:pPr>
          </w:tcPr>
          <w:p>
            <w:r>
              <w:pict>
                <v:rect style="position:absolute;margin-left:30pt;margin-top:0pt;width:103pt;height:9pt;z-index:0;;v-text-anchor:top">
                  <v:textbox inset="0,0,0,0">
                    <w:txbxContent>
                      <w:p>
                        <w:pPr>
                          <w:pStyle w:val="1CStyle70"/>
                        </w:pPr>
                        <w:jc w:val="center"/>
                        <w:r>
                          <w:t>(расшифровка подписи)</w:t>
                        </w:r>
                      </w:p>
                    </w:txbxContent>
                  </v:textbox>
                </v:rect>
              </w:pict>
              <w:t/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360" w:hRule="exact"/>
        </w:trPr>
        <w:tc>
          <w:tcPr>
            <w:tcW w:w="35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202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71"/>
            </w:pPr>
            <w:r>
              <w:t>Исполнитель</w:t>
            </w:r>
          </w:p>
        </w:tc>
        <w:tc>
          <w:tcPr>
            <w:tcW w:w="1260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1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0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220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>(подпись)</w:t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2074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>(расшифровка подписи)</w:t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354"/>
        <w:gridCol w:w="223"/>
        <w:gridCol w:w="1116"/>
        <w:gridCol w:w="906"/>
        <w:gridCol w:w="1260"/>
        <w:gridCol w:w="1851"/>
        <w:gridCol w:w="643"/>
        <w:gridCol w:w="617"/>
        <w:gridCol w:w="1457"/>
        <w:gridCol w:w="1457"/>
        <w:gridCol w:w="1457"/>
        <w:gridCol w:w="1457"/>
        <w:gridCol w:w="0"/>
      </w:tblGrid>
      <w:tr>
        <w:trPr>
          <w:trHeight w:val="240" w:hRule="exact"/>
        </w:trP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22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022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73"/>
            </w:pPr>
            <w:r>
              <w:t>17 января 2015 г.</w:t>
            </w:r>
          </w:p>
        </w:tc>
        <w:tc>
          <w:tcPr>
            <w:tcW w:w="126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8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4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1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5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paragraph" w:styleId="1CStyle29">
    <w:name w:val="1CStyle29"/>
    <w:basedOn w:val="Normal"/>
    <w:pPr>
      <w:jc w:val="center"/>
      <w:rPr/>
    </w:pPr>
  </w:style>
  <w:style w:type="paragraph" w:styleId="1CStyle28">
    <w:name w:val="1CStyle28"/>
    <w:basedOn w:val="Normal"/>
    <w:pPr>
      <w:jc w:val="center"/>
      <w:rPr/>
    </w:pPr>
  </w:style>
  <w:style w:type="paragraph" w:styleId="1CStyle63">
    <w:name w:val="1CStyle63"/>
    <w:basedOn w:val="Normal"/>
    <w:pPr>
      <w:jc w:val="center"/>
      <w:rPr/>
    </w:pPr>
  </w:style>
  <w:style w:type="paragraph" w:styleId="1CStyle62">
    <w:name w:val="1CStyle62"/>
    <w:basedOn w:val="Normal"/>
    <w:pPr>
      <w:jc w:val="center"/>
      <w:rPr/>
    </w:pPr>
  </w:style>
  <w:style w:type="paragraph" w:styleId="1CStyle51">
    <w:name w:val="1CStyle51"/>
    <w:basedOn w:val="Normal"/>
    <w:pPr>
      <w:jc w:val="center"/>
      <w:rPr/>
    </w:pPr>
  </w:style>
  <w:style w:type="paragraph" w:styleId="1CStyle66">
    <w:name w:val="1CStyle66"/>
    <w:basedOn w:val="Normal"/>
    <w:pPr>
      <w:jc w:val="center"/>
      <w:rPr/>
    </w:pPr>
  </w:style>
  <w:style w:type="paragraph" w:styleId="1CStyle53">
    <w:name w:val="1CStyle53"/>
    <w:basedOn w:val="Normal"/>
    <w:pPr>
      <w:jc w:val="center"/>
      <w:rPr/>
    </w:pPr>
  </w:style>
  <w:style w:type="paragraph" w:styleId="1CStyle50">
    <w:name w:val="1CStyle50"/>
    <w:basedOn w:val="Normal"/>
    <w:pPr>
      <w:jc w:val="center"/>
      <w:rPr/>
    </w:pPr>
  </w:style>
  <w:style w:type="paragraph" w:styleId="1CStyle65">
    <w:name w:val="1CStyle65"/>
    <w:basedOn w:val="Normal"/>
    <w:pPr>
      <w:jc w:val="center"/>
      <w:rPr/>
    </w:pPr>
  </w:style>
  <w:style w:type="paragraph" w:styleId="1CStyle52">
    <w:name w:val="1CStyle52"/>
    <w:basedOn w:val="Normal"/>
    <w:pPr>
      <w:jc w:val="center"/>
      <w:rPr/>
    </w:pPr>
  </w:style>
  <w:style w:type="paragraph" w:styleId="1CStyle35">
    <w:name w:val="1CStyle35"/>
    <w:basedOn w:val="Normal"/>
    <w:pPr>
      <w:jc w:val="center"/>
      <w:rPr/>
    </w:pPr>
  </w:style>
  <w:style w:type="paragraph" w:styleId="1CStyle49">
    <w:name w:val="1CStyle49"/>
    <w:basedOn w:val="Normal"/>
    <w:pPr>
      <w:jc w:val="center"/>
      <w:rPr/>
    </w:pPr>
  </w:style>
  <w:style w:type="paragraph" w:styleId="1CStyle44">
    <w:name w:val="1CStyle44"/>
    <w:basedOn w:val="Normal"/>
    <w:pPr>
      <w:jc w:val="center"/>
      <w:rPr/>
    </w:pPr>
  </w:style>
  <w:style w:type="paragraph" w:styleId="1CStyle34">
    <w:name w:val="1CStyle34"/>
    <w:basedOn w:val="Normal"/>
    <w:pPr>
      <w:jc w:val="center"/>
      <w:rPr/>
    </w:pPr>
  </w:style>
  <w:style w:type="paragraph" w:styleId="1CStyle48">
    <w:name w:val="1CStyle48"/>
    <w:basedOn w:val="Normal"/>
    <w:pPr>
      <w:jc w:val="center"/>
      <w:rPr/>
    </w:pPr>
  </w:style>
  <w:style w:type="paragraph" w:styleId="1CStyle43">
    <w:name w:val="1CStyle43"/>
    <w:basedOn w:val="Normal"/>
    <w:pPr>
      <w:jc w:val="center"/>
      <w:rPr/>
    </w:pPr>
  </w:style>
  <w:style w:type="paragraph" w:styleId="1CStyle-1">
    <w:name w:val="1CStyle-1"/>
    <w:basedOn w:val="Normal"/>
    <w:pPr>
      <w:jc w:val="center"/>
      <w:rPr>
        <w:rFonts w:ascii="Arial" w:hAnsi="Arial"/>
        <w:b/>
        <w:sz w:val="18"/>
      </w:rPr>
    </w:pPr>
  </w:style>
  <w:style w:type="paragraph" w:styleId="1CStyle56">
    <w:name w:val="1CStyle56"/>
    <w:basedOn w:val="Normal"/>
    <w:pPr>
      <w:jc w:val="center"/>
      <w:rPr/>
    </w:pPr>
  </w:style>
  <w:style w:type="paragraph" w:styleId="1CStyle55">
    <w:name w:val="1CStyle55"/>
    <w:basedOn w:val="Normal"/>
    <w:pPr>
      <w:jc w:val="center"/>
      <w:rPr/>
    </w:pPr>
  </w:style>
  <w:style w:type="paragraph" w:styleId="1CStyle41">
    <w:name w:val="1CStyle41"/>
    <w:basedOn w:val="Normal"/>
    <w:pPr>
      <w:jc w:val="center"/>
      <w:rPr/>
    </w:pPr>
  </w:style>
  <w:style w:type="paragraph" w:styleId="1CStyle40">
    <w:name w:val="1CStyle40"/>
    <w:basedOn w:val="Normal"/>
    <w:pPr>
      <w:jc w:val="center"/>
      <w:rPr/>
    </w:pPr>
  </w:style>
  <w:style w:type="paragraph" w:styleId="1CStyle72">
    <w:name w:val="1CStyle72"/>
    <w:basedOn w:val="Normal"/>
    <w:pPr>
      <w:jc w:val="center"/>
      <w:rPr>
        <w:rFonts w:ascii="Arial" w:hAnsi="Arial"/>
        <w:sz w:val="14"/>
      </w:rPr>
    </w:pPr>
  </w:style>
  <w:style w:type="paragraph" w:styleId="1CStyle17">
    <w:name w:val="1CStyle17"/>
    <w:basedOn w:val="Normal"/>
    <w:pPr>
      <w:jc w:val="center"/>
      <w:rPr/>
    </w:pPr>
  </w:style>
  <w:style w:type="paragraph" w:styleId="1CStyle22">
    <w:name w:val="1CStyle22"/>
    <w:basedOn w:val="Normal"/>
    <w:pPr>
      <w:jc w:val="center"/>
      <w:rPr/>
    </w:pPr>
  </w:style>
  <w:style w:type="paragraph" w:styleId="1CStyle24">
    <w:name w:val="1CStyle24"/>
    <w:basedOn w:val="Normal"/>
    <w:pPr>
      <w:jc w:val="center"/>
      <w:rPr/>
    </w:pPr>
  </w:style>
  <w:style w:type="paragraph" w:styleId="1CStyle23">
    <w:name w:val="1CStyle23"/>
    <w:basedOn w:val="Normal"/>
    <w:pPr>
      <w:jc w:val="center"/>
      <w:rPr/>
    </w:pPr>
  </w:style>
  <w:style w:type="paragraph" w:styleId="1CStyle25">
    <w:name w:val="1CStyle25"/>
    <w:basedOn w:val="Normal"/>
    <w:pPr>
      <w:jc w:val="center"/>
      <w:rPr/>
    </w:pPr>
  </w:style>
  <w:style w:type="paragraph" w:styleId="1CStyle21">
    <w:name w:val="1CStyle21"/>
    <w:basedOn w:val="Normal"/>
    <w:pPr>
      <w:jc w:val="center"/>
      <w:rPr/>
    </w:pPr>
  </w:style>
  <w:style w:type="paragraph" w:styleId="1CStyle26">
    <w:name w:val="1CStyle26"/>
    <w:basedOn w:val="Normal"/>
    <w:pPr>
      <w:jc w:val="center"/>
      <w:rPr/>
    </w:pPr>
  </w:style>
  <w:style w:type="paragraph" w:styleId="1CStyle42">
    <w:name w:val="1CStyle42"/>
    <w:basedOn w:val="Normal"/>
    <w:pPr>
      <w:wordWrap w:val="1"/>
      <w:jc w:val="center"/>
      <w:rPr/>
    </w:pPr>
  </w:style>
  <w:style w:type="paragraph" w:styleId="1CStyle46">
    <w:name w:val="1CStyle46"/>
    <w:basedOn w:val="Normal"/>
    <w:pPr>
      <w:wordWrap w:val="1"/>
      <w:jc w:val="center"/>
      <w:rPr/>
    </w:pPr>
  </w:style>
  <w:style w:type="paragraph" w:styleId="1CStyle47">
    <w:name w:val="1CStyle47"/>
    <w:basedOn w:val="Normal"/>
    <w:pPr>
      <w:wordWrap w:val="1"/>
      <w:jc w:val="center"/>
      <w:rPr/>
    </w:pPr>
  </w:style>
  <w:style w:type="paragraph" w:styleId="1CStyle30">
    <w:name w:val="1CStyle30"/>
    <w:basedOn w:val="Normal"/>
    <w:pPr>
      <w:wordWrap w:val="1"/>
      <w:jc w:val="center"/>
      <w:rPr/>
    </w:pPr>
  </w:style>
  <w:style w:type="paragraph" w:styleId="1CStyle45">
    <w:name w:val="1CStyle45"/>
    <w:basedOn w:val="Normal"/>
    <w:pPr>
      <w:wordWrap w:val="1"/>
      <w:jc w:val="center"/>
      <w:rPr/>
    </w:pPr>
  </w:style>
  <w:style w:type="paragraph" w:styleId="1CStyle27">
    <w:name w:val="1CStyle27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38">
    <w:name w:val="1CStyle38"/>
    <w:basedOn w:val="Normal"/>
    <w:pPr>
      <w:wordWrap w:val="1"/>
      <w:jc w:val="center"/>
      <w:rPr/>
    </w:pPr>
  </w:style>
  <w:style w:type="paragraph" w:styleId="1CStyle39">
    <w:name w:val="1CStyle39"/>
    <w:basedOn w:val="Normal"/>
    <w:pPr>
      <w:wordWrap w:val="1"/>
      <w:jc w:val="center"/>
      <w:rPr/>
    </w:pPr>
  </w:style>
  <w:style w:type="paragraph" w:styleId="1CStyle37">
    <w:name w:val="1CStyle37"/>
    <w:basedOn w:val="Normal"/>
    <w:pPr>
      <w:wordWrap w:val="1"/>
      <w:jc w:val="center"/>
      <w:rPr/>
    </w:pPr>
  </w:style>
  <w:style w:type="paragraph" w:styleId="1CStyle54">
    <w:name w:val="1CStyle54"/>
    <w:basedOn w:val="Normal"/>
    <w:pPr>
      <w:wordWrap w:val="1"/>
      <w:jc w:val="center"/>
      <w:rPr/>
    </w:pPr>
  </w:style>
  <w:style w:type="paragraph" w:styleId="1CStyle19">
    <w:name w:val="1CStyle19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20">
    <w:name w:val="1CStyle20"/>
    <w:basedOn w:val="Normal"/>
    <w:pPr>
      <w:wordWrap w:val="1"/>
      <w:jc w:val="center"/>
      <w:rPr/>
    </w:pPr>
  </w:style>
  <w:style w:type="paragraph" w:styleId="1CStyle69">
    <w:name w:val="1CStyle69"/>
    <w:basedOn w:val="Normal"/>
    <w:pPr>
      <w:jc w:val="center"/>
      <w:rPr>
        <w:rFonts w:ascii="Arial" w:hAnsi="Arial"/>
        <w:b/>
        <w:sz w:val="18"/>
      </w:rPr>
    </w:pPr>
  </w:style>
  <w:style w:type="paragraph" w:styleId="1CStyle71">
    <w:name w:val="1CStyle71"/>
    <w:basedOn w:val="Normal"/>
    <w:pPr>
      <w:jc w:val="center"/>
      <w:rPr>
        <w:rFonts w:ascii="Arial" w:hAnsi="Arial"/>
        <w:b/>
        <w:sz w:val="18"/>
      </w:rPr>
    </w:pPr>
  </w:style>
  <w:style w:type="paragraph" w:styleId="1CStyle4">
    <w:name w:val="1CStyle4"/>
    <w:basedOn w:val="Normal"/>
    <w:pPr>
      <w:jc w:val="right"/>
      <w:rPr/>
    </w:pPr>
  </w:style>
  <w:style w:type="paragraph" w:styleId="1CStyle2">
    <w:name w:val="1CStyle2"/>
    <w:basedOn w:val="Normal"/>
    <w:pPr>
      <w:jc w:val="right"/>
      <w:rPr/>
    </w:pPr>
  </w:style>
  <w:style w:type="paragraph" w:styleId="1CStyle9">
    <w:name w:val="1CStyle9"/>
    <w:basedOn w:val="Normal"/>
    <w:pPr>
      <w:jc w:val="right"/>
      <w:rPr/>
    </w:pPr>
  </w:style>
  <w:style w:type="paragraph" w:styleId="1CStyle0">
    <w:name w:val="1CStyle0"/>
    <w:basedOn w:val="Normal"/>
    <w:pPr>
      <w:jc w:val="center"/>
      <w:rPr/>
    </w:pPr>
  </w:style>
  <w:style w:type="paragraph" w:styleId="1CStyle15">
    <w:name w:val="1CStyle15"/>
    <w:basedOn w:val="Normal"/>
    <w:pPr>
      <w:jc w:val="center"/>
      <w:rPr/>
    </w:pPr>
  </w:style>
  <w:style w:type="paragraph" w:styleId="1CStyle3">
    <w:name w:val="1CStyle3"/>
    <w:basedOn w:val="Normal"/>
    <w:pPr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1">
    <w:name w:val="1CStyle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70">
    <w:name w:val="1CStyle70"/>
    <w:basedOn w:val="Normal"/>
    <w:pPr>
      <w:jc w:val="center"/>
      <w:rPr>
        <w:rFonts w:ascii="Arial" w:hAnsi="Arial"/>
        <w:sz w:val="12"/>
      </w:rPr>
    </w:pPr>
  </w:style>
  <w:style w:type="paragraph" w:styleId="1CStyle5">
    <w:name w:val="1CStyle5"/>
    <w:basedOn w:val="Normal"/>
    <w:pPr>
      <w:jc w:val="right"/>
      <w:rPr/>
    </w:pPr>
  </w:style>
  <w:style w:type="paragraph" w:styleId="1CStyle64">
    <w:name w:val="1CStyle64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jc w:val="center"/>
      <w:rPr/>
    </w:pPr>
  </w:style>
  <w:style w:type="paragraph" w:styleId="1CStyle14">
    <w:name w:val="1CStyle14"/>
    <w:basedOn w:val="Normal"/>
    <w:pPr>
      <w:jc w:val="center"/>
      <w:rPr/>
    </w:pPr>
  </w:style>
  <w:style w:type="paragraph" w:styleId="1CStyle16">
    <w:name w:val="1CStyle16"/>
    <w:basedOn w:val="Normal"/>
    <w:pPr>
      <w:jc w:val="center"/>
      <w:rPr/>
    </w:pPr>
  </w:style>
  <w:style w:type="paragraph" w:styleId="1CStyle10">
    <w:name w:val="1CStyle10"/>
    <w:basedOn w:val="Normal"/>
    <w:pPr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jc w:val="center"/>
      <w:rPr/>
    </w:pPr>
  </w:style>
  <w:style w:type="paragraph" w:styleId="1CStyle73">
    <w:name w:val="1CStyle73"/>
    <w:basedOn w:val="Normal"/>
    <w:pPr>
      <w:jc w:val="center"/>
      <w:rPr>
        <w:rFonts w:ascii="Arial" w:hAnsi="Arial"/>
        <w:sz w:val="22"/>
        <w:u w:val="single"/>
      </w:rPr>
    </w:pPr>
  </w:style>
  <w:style w:type="paragraph" w:styleId="1CStyle59">
    <w:name w:val="1CStyle59"/>
    <w:basedOn w:val="Normal"/>
    <w:pPr>
      <w:jc w:val="right"/>
      <w:rPr/>
    </w:pPr>
  </w:style>
  <w:style w:type="paragraph" w:styleId="1CStyle57">
    <w:name w:val="1CStyle57"/>
    <w:basedOn w:val="Normal"/>
    <w:pPr>
      <w:jc w:val="right"/>
      <w:rPr/>
    </w:pPr>
  </w:style>
  <w:style w:type="paragraph" w:styleId="1CStyle31">
    <w:name w:val="1CStyle31"/>
    <w:basedOn w:val="Normal"/>
    <w:pPr>
      <w:jc w:val="right"/>
      <w:rPr/>
    </w:pPr>
  </w:style>
  <w:style w:type="paragraph" w:styleId="1CStyle32">
    <w:name w:val="1CStyle32"/>
    <w:basedOn w:val="Normal"/>
    <w:pPr>
      <w:jc w:val="right"/>
      <w:rPr/>
    </w:pPr>
  </w:style>
  <w:style w:type="paragraph" w:styleId="1CStyle36">
    <w:name w:val="1CStyle36"/>
    <w:basedOn w:val="Normal"/>
    <w:pPr>
      <w:jc w:val="right"/>
      <w:rPr/>
    </w:pPr>
  </w:style>
  <w:style w:type="paragraph" w:styleId="1CStyle67">
    <w:name w:val="1CStyle67"/>
    <w:basedOn w:val="Normal"/>
    <w:pPr>
      <w:jc w:val="right"/>
      <w:rPr/>
    </w:pPr>
  </w:style>
  <w:style w:type="paragraph" w:styleId="1CStyle33">
    <w:name w:val="1CStyle33"/>
    <w:basedOn w:val="Normal"/>
    <w:pPr>
      <w:jc w:val="right"/>
      <w:rPr/>
    </w:pPr>
  </w:style>
  <w:style w:type="paragraph" w:styleId="1CStyle68">
    <w:name w:val="1CStyle68"/>
    <w:basedOn w:val="Normal"/>
    <w:pPr>
      <w:jc w:val="right"/>
      <w:rPr/>
    </w:pPr>
  </w:style>
  <w:style w:type="paragraph" w:styleId="1CStyle61">
    <w:name w:val="1CStyle61"/>
    <w:basedOn w:val="Normal"/>
    <w:pPr>
      <w:jc w:val="right"/>
      <w:rPr/>
    </w:pPr>
  </w:style>
  <w:style w:type="paragraph" w:styleId="1CStyle58">
    <w:name w:val="1CStyle58"/>
    <w:basedOn w:val="Normal"/>
    <w:pPr>
      <w:jc w:val="right"/>
      <w:rPr/>
    </w:pPr>
  </w:style>
  <w:style w:type="paragraph" w:styleId="1CStyle60">
    <w:name w:val="1CStyle60"/>
    <w:basedOn w:val="Normal"/>
    <w:pPr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